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9D" w:rsidRPr="00542E9D" w:rsidRDefault="00542E9D" w:rsidP="0054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ÇHC 2026 YILI “</w:t>
      </w:r>
      <w:r w:rsidRPr="00542E9D">
        <w:rPr>
          <w:rFonts w:ascii="Times New Roman" w:eastAsia="Times New Roman" w:hAnsi="Times New Roman" w:cs="Times New Roman"/>
          <w:b/>
          <w:sz w:val="24"/>
          <w:szCs w:val="24"/>
        </w:rPr>
        <w:t>ÇİFT</w:t>
      </w:r>
      <w:r w:rsidR="00931EB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Pr="00542E9D">
        <w:rPr>
          <w:rFonts w:ascii="Times New Roman" w:eastAsia="Times New Roman" w:hAnsi="Times New Roman" w:cs="Times New Roman"/>
          <w:b/>
          <w:sz w:val="24"/>
          <w:szCs w:val="24"/>
        </w:rPr>
        <w:t xml:space="preserve"> KULLANIMLI ÜRÜNLER VE TEKNOLOJİLER İÇİN İTHALAT VE İHRACAT LİSANSLARININ YÖNETİMİ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542E9D">
        <w:rPr>
          <w:rFonts w:ascii="Times New Roman" w:eastAsia="Times New Roman" w:hAnsi="Times New Roman" w:cs="Times New Roman"/>
          <w:b/>
          <w:sz w:val="24"/>
          <w:szCs w:val="24"/>
        </w:rPr>
        <w:t xml:space="preserve"> DÜZENLEMESİ</w:t>
      </w:r>
    </w:p>
    <w:p w:rsid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Çin Ticaret Bakanlığı ve Gümrük İdaresi tarafından ortaklaşa yayınlanan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31.12.2025 tarihli duyuru ile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"Çift Kullanımlı Maddeler ve Teknolojiler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için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İthalat ve İhracat Lisans Yönetim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Kataloğu"n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güncelle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ndiği ve 01.01.2026 tarihinden itibaren yürürlüğe gireceği belirtilmektedir. </w:t>
      </w:r>
    </w:p>
    <w:p w:rsid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B91" w:rsidRDefault="00807B91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Düzenlemenin orijinal </w:t>
      </w:r>
      <w:r w:rsidR="00931EBC">
        <w:rPr>
          <w:rFonts w:ascii="Times New Roman" w:eastAsia="Times New Roman" w:hAnsi="Times New Roman" w:cs="Times New Roman"/>
          <w:sz w:val="24"/>
          <w:szCs w:val="24"/>
        </w:rPr>
        <w:t xml:space="preserve">Çince </w:t>
      </w:r>
      <w:proofErr w:type="gramStart"/>
      <w:r w:rsidR="00931EBC">
        <w:rPr>
          <w:rFonts w:ascii="Times New Roman" w:eastAsia="Times New Roman" w:hAnsi="Times New Roman" w:cs="Times New Roman"/>
          <w:sz w:val="24"/>
          <w:szCs w:val="24"/>
        </w:rPr>
        <w:t>versiyonu</w:t>
      </w:r>
      <w:proofErr w:type="gramEnd"/>
      <w:r w:rsidR="00931EBC">
        <w:rPr>
          <w:rFonts w:ascii="Times New Roman" w:eastAsia="Times New Roman" w:hAnsi="Times New Roman" w:cs="Times New Roman"/>
          <w:sz w:val="24"/>
          <w:szCs w:val="24"/>
        </w:rPr>
        <w:t xml:space="preserve"> ve eki kataloğa </w:t>
      </w:r>
      <w:hyperlink r:id="rId5" w:history="1">
        <w:r w:rsidR="00931EBC" w:rsidRPr="00636BDD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https://www.mofcom.gov.cn/zwgk/zcfb/a</w:t>
        </w:r>
        <w:r w:rsidR="00931EBC" w:rsidRPr="00636BDD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r</w:t>
        </w:r>
        <w:r w:rsidR="00931EBC" w:rsidRPr="00636BDD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t/2025/art_c03d1e511b2b486e829d68e8f1422aff.html</w:t>
        </w:r>
      </w:hyperlink>
      <w:r w:rsidR="00931EBC">
        <w:rPr>
          <w:rFonts w:ascii="Times New Roman" w:eastAsia="Times New Roman" w:hAnsi="Times New Roman" w:cs="Times New Roman"/>
          <w:sz w:val="24"/>
          <w:szCs w:val="24"/>
        </w:rPr>
        <w:t xml:space="preserve"> linki üzerinden erişim sağlanabilmektedir.</w:t>
      </w:r>
    </w:p>
    <w:p w:rsidR="00931EBC" w:rsidRPr="00542E9D" w:rsidRDefault="00931EBC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E9D" w:rsidRP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Katalog’da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Çin'in </w:t>
      </w:r>
      <w:r>
        <w:rPr>
          <w:rFonts w:ascii="Times New Roman" w:eastAsia="Times New Roman" w:hAnsi="Times New Roman" w:cs="Times New Roman"/>
          <w:sz w:val="24"/>
          <w:szCs w:val="24"/>
        </w:rPr>
        <w:t>çift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amaçlı (sivil ve askeri) malların ve teknolojilerin ithalat ve 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racatında aranacak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devlet lisansına tabi olan malların ayrıntılı bir listesin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yer verilmektedir. </w:t>
      </w:r>
    </w:p>
    <w:p w:rsid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E9D" w:rsidRP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 Çift</w:t>
      </w: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maçlı Mal ve Teknoloji İthalat İzin Listesi</w:t>
      </w:r>
    </w:p>
    <w:p w:rsid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E9D" w:rsidRP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sz w:val="24"/>
          <w:szCs w:val="24"/>
        </w:rPr>
        <w:t>Bu bölüm, ithalatı izne tabi malları kapsar ve dört kategoriye ayrılır:</w:t>
      </w:r>
    </w:p>
    <w:p w:rsidR="00542E9D" w:rsidRPr="00542E9D" w:rsidRDefault="00542E9D" w:rsidP="00542E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Kimyasal Silahlarla İlgili Maddeler: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Kimyasal silah yapımında kullanılabilecek kimyasallar (örneğin, hardal gazı, sinir ajanları,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rizin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>) ve bunların öncülleri.</w:t>
      </w:r>
    </w:p>
    <w:p w:rsidR="00542E9D" w:rsidRPr="00542E9D" w:rsidRDefault="00542E9D" w:rsidP="00542E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Uyuşturucu Yapımında Kullanılabilecek Kimyasallar: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Efedrin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pseudoefedrin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>, anhidrit asetik, potasyum permanganat, aseton vb. yasa dışı uyuşturucu üretiminde kullanılabilen kimyasallar.</w:t>
      </w:r>
    </w:p>
    <w:p w:rsidR="00542E9D" w:rsidRPr="00542E9D" w:rsidRDefault="00542E9D" w:rsidP="00542E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Radyoizotoplar: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​ Doğal uranyum, zenginleştirilmiş uranyum, toryum, radyum-226, trityum gibi radyoaktif maddeler.</w:t>
      </w:r>
    </w:p>
    <w:p w:rsidR="00542E9D" w:rsidRPr="00542E9D" w:rsidRDefault="00542E9D" w:rsidP="00542E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Ticari Şifreleme İthalat İzin Listesi: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​ Belirli şifreleme algoritmaları içeren şifreli telefonlar, faks makineleri, şifreleme cihazları ve VPN cihazları.</w:t>
      </w:r>
    </w:p>
    <w:p w:rsid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 Çift</w:t>
      </w: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Amaçlı Mal ve Teknoloji İhracat İzin Listesi</w:t>
      </w:r>
    </w:p>
    <w:p w:rsidR="00542E9D" w:rsidRP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E9D" w:rsidRP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Bu bölüm, ihracatı izne tabi malları kapsar ve "İki Amaçlı Mal İhracat Kontrol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Listesi"nde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yer alan maddeleri listelemektedir. Liste çok kapsamlıdır ve üç ana grupta toplanabilir:</w:t>
      </w:r>
    </w:p>
    <w:p w:rsidR="00542E9D" w:rsidRPr="00542E9D" w:rsidRDefault="00542E9D" w:rsidP="00542E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Özel Malzemeler ve İlgili Ekipmanlar, Kimyasallar, Mikroorganizmalar ve Toksinler: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Ekipman ve Bileşenler (1A serisi):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Kompozit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yapılar, katalizörler, radyasyon kalkanları, "süper plastik şekillendirme" için takım </w:t>
      </w:r>
      <w:proofErr w:type="gramStart"/>
      <w:r w:rsidRPr="00542E9D">
        <w:rPr>
          <w:rFonts w:ascii="Times New Roman" w:eastAsia="Times New Roman" w:hAnsi="Times New Roman" w:cs="Times New Roman"/>
          <w:sz w:val="24"/>
          <w:szCs w:val="24"/>
        </w:rPr>
        <w:t>tezgahları</w:t>
      </w:r>
      <w:proofErr w:type="gram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gibi özel ekipmanlar.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Test ve Üretim Ekipmanları (1B serisi):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Kompozit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malzeme üretim </w:t>
      </w:r>
      <w:proofErr w:type="gramStart"/>
      <w:r w:rsidRPr="00542E9D">
        <w:rPr>
          <w:rFonts w:ascii="Times New Roman" w:eastAsia="Times New Roman" w:hAnsi="Times New Roman" w:cs="Times New Roman"/>
          <w:sz w:val="24"/>
          <w:szCs w:val="24"/>
        </w:rPr>
        <w:t>ekipmanları</w:t>
      </w:r>
      <w:proofErr w:type="gramEnd"/>
      <w:r w:rsidRPr="00542E9D">
        <w:rPr>
          <w:rFonts w:ascii="Times New Roman" w:eastAsia="Times New Roman" w:hAnsi="Times New Roman" w:cs="Times New Roman"/>
          <w:sz w:val="24"/>
          <w:szCs w:val="24"/>
        </w:rPr>
        <w:t>, metal tozları, itici yakıt üretim ekipmanları, izotop ayırma ekipmanları (santrifüjler gibi), vakum pompaları.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Malzemeler (1C serisi):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Tungsten alaşımları,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kompozit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malzemeler, grafit, sıvı ve katı itici yakıtlar, yüksek enerjili patlayıcılar, radyoaktif izotoplar,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patojenik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mikroorganizmalar (şarbon, veba, Ebola vb. gibi), toksinler (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botulinum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toksini,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risin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gibi).</w:t>
      </w:r>
    </w:p>
    <w:p w:rsidR="00542E9D" w:rsidRPr="00542E9D" w:rsidRDefault="00542E9D" w:rsidP="00542E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Malzeme İşleme (2. Kısım):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Ekipman ve Bileşenler (2A serisi):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Özel potalar, valfler, hidrostatik </w:t>
      </w:r>
      <w:proofErr w:type="gramStart"/>
      <w:r w:rsidRPr="00542E9D">
        <w:rPr>
          <w:rFonts w:ascii="Times New Roman" w:eastAsia="Times New Roman" w:hAnsi="Times New Roman" w:cs="Times New Roman"/>
          <w:sz w:val="24"/>
          <w:szCs w:val="24"/>
        </w:rPr>
        <w:t>presler</w:t>
      </w:r>
      <w:proofErr w:type="gramEnd"/>
      <w:r w:rsidRPr="00542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Test ve Üretim Ekipmanları (2B serisi):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Kimyasal buhar biriktirme (CVD) fırınları, 5 eksenli CNC </w:t>
      </w:r>
      <w:proofErr w:type="gramStart"/>
      <w:r w:rsidRPr="00542E9D">
        <w:rPr>
          <w:rFonts w:ascii="Times New Roman" w:eastAsia="Times New Roman" w:hAnsi="Times New Roman" w:cs="Times New Roman"/>
          <w:sz w:val="24"/>
          <w:szCs w:val="24"/>
        </w:rPr>
        <w:t>tezgahları</w:t>
      </w:r>
      <w:proofErr w:type="gramEnd"/>
      <w:r w:rsidRPr="00542E9D">
        <w:rPr>
          <w:rFonts w:ascii="Times New Roman" w:eastAsia="Times New Roman" w:hAnsi="Times New Roman" w:cs="Times New Roman"/>
          <w:sz w:val="24"/>
          <w:szCs w:val="24"/>
        </w:rPr>
        <w:t>, koordinat ölçüm makineleri (CMM), robotlar, titreşim test sistemleri, vakum fırınları.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Kimyasal Üretim Ekipmanları (2B350 vb.):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Korozyona dayanıklı malzemelerden (titanyum, tantal, zirkonyum, nikel alaşımları,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floropolimerler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) yapılmış pompalar, valfler, reaktörler, ısı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eşanjörleri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>, borular.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Biyolojik Malzeme İşleme Ekipmanları (2B352 vb.):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Biyogüvenlik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seviye 3 ve 4 (BL-3, BL-4) kabinleri,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fermentörler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42E9D">
        <w:rPr>
          <w:rFonts w:ascii="Times New Roman" w:eastAsia="Times New Roman" w:hAnsi="Times New Roman" w:cs="Times New Roman"/>
          <w:sz w:val="24"/>
          <w:szCs w:val="24"/>
        </w:rPr>
        <w:t>santrifüjler</w:t>
      </w:r>
      <w:proofErr w:type="gram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liyofilizatörler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E9D" w:rsidRPr="00542E9D" w:rsidRDefault="00542E9D" w:rsidP="00542E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Elektronik (3. Kısım):</w:t>
      </w:r>
    </w:p>
    <w:p w:rsidR="00542E9D" w:rsidRPr="00542E9D" w:rsidRDefault="00542E9D" w:rsidP="00542E9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Ekipman ve Bileşenler (3A serisi):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Yüksek hızlı analog-sayısal dönüştürücüler, güçlü </w:t>
      </w:r>
      <w:proofErr w:type="spellStart"/>
      <w:r w:rsidRPr="00542E9D">
        <w:rPr>
          <w:rFonts w:ascii="Times New Roman" w:eastAsia="Times New Roman" w:hAnsi="Times New Roman" w:cs="Times New Roman"/>
          <w:sz w:val="24"/>
          <w:szCs w:val="24"/>
        </w:rPr>
        <w:t>kapasitörler</w:t>
      </w:r>
      <w:proofErr w:type="spellEnd"/>
      <w:r w:rsidRPr="00542E9D">
        <w:rPr>
          <w:rFonts w:ascii="Times New Roman" w:eastAsia="Times New Roman" w:hAnsi="Times New Roman" w:cs="Times New Roman"/>
          <w:sz w:val="24"/>
          <w:szCs w:val="24"/>
        </w:rPr>
        <w:t>, süper iletken mıknatıslar, parlak X-ışını jeneratörleri, yüksek güçlü DC güç kaynakları, hızlı anahtarlama cihazları.</w:t>
      </w:r>
    </w:p>
    <w:p w:rsidR="00542E9D" w:rsidRPr="00542E9D" w:rsidRDefault="00542E9D" w:rsidP="005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b/>
          <w:bCs/>
          <w:sz w:val="24"/>
          <w:szCs w:val="24"/>
        </w:rPr>
        <w:t>Özetle,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r w:rsidR="00807B91">
        <w:rPr>
          <w:rFonts w:ascii="Times New Roman" w:eastAsia="Times New Roman" w:hAnsi="Times New Roman" w:cs="Times New Roman"/>
          <w:sz w:val="24"/>
          <w:szCs w:val="24"/>
        </w:rPr>
        <w:t xml:space="preserve">söz konusu düzenleme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hem sivil hem de askeri amaçlarla kullanılabilecek</w:t>
      </w:r>
      <w:r w:rsidR="00807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ihracatı ve ithalatı sıkı bir şekilde kontrol edilen çok çeşitli malzeme, kimyasal, </w:t>
      </w:r>
      <w:proofErr w:type="gramStart"/>
      <w:r w:rsidRPr="00542E9D">
        <w:rPr>
          <w:rFonts w:ascii="Times New Roman" w:eastAsia="Times New Roman" w:hAnsi="Times New Roman" w:cs="Times New Roman"/>
          <w:sz w:val="24"/>
          <w:szCs w:val="24"/>
        </w:rPr>
        <w:t>ekipman</w:t>
      </w:r>
      <w:proofErr w:type="gramEnd"/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 ve yazılımları </w:t>
      </w:r>
      <w:r w:rsidR="00807B91">
        <w:rPr>
          <w:rFonts w:ascii="Times New Roman" w:eastAsia="Times New Roman" w:hAnsi="Times New Roman" w:cs="Times New Roman"/>
          <w:sz w:val="24"/>
          <w:szCs w:val="24"/>
        </w:rPr>
        <w:t xml:space="preserve">içermektedir.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Liste, kitle imha silahlarının (kimyasal, biyolojik, nükleer) yayılmasının önlenmesi ve ulusal güvenliğin sağlanması amacıyla oluşturulmuştur.</w:t>
      </w:r>
    </w:p>
    <w:p w:rsidR="009921E1" w:rsidRDefault="009921E1" w:rsidP="00542E9D">
      <w:pPr>
        <w:jc w:val="both"/>
      </w:pPr>
    </w:p>
    <w:sectPr w:rsidR="0099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20F"/>
    <w:multiLevelType w:val="multilevel"/>
    <w:tmpl w:val="4EC6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B3157"/>
    <w:multiLevelType w:val="multilevel"/>
    <w:tmpl w:val="2394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902B0"/>
    <w:multiLevelType w:val="multilevel"/>
    <w:tmpl w:val="7356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9D"/>
    <w:rsid w:val="00542E9D"/>
    <w:rsid w:val="00807B91"/>
    <w:rsid w:val="00931EBC"/>
    <w:rsid w:val="009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36D3"/>
  <w15:chartTrackingRefBased/>
  <w15:docId w15:val="{5B8A9112-FE65-46FA-A615-D4C59EAA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42E9D"/>
    <w:rPr>
      <w:b/>
      <w:bCs/>
    </w:rPr>
  </w:style>
  <w:style w:type="character" w:styleId="Kpr">
    <w:name w:val="Hyperlink"/>
    <w:basedOn w:val="VarsaylanParagrafYazTipi"/>
    <w:uiPriority w:val="99"/>
    <w:unhideWhenUsed/>
    <w:rsid w:val="00931EBC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31E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fcom.gov.cn/zwgk/zcfb/art/2025/art_c03d1e511b2b486e829d68e8f1422af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2026-01-06T06:22:00Z</dcterms:created>
  <dcterms:modified xsi:type="dcterms:W3CDTF">2026-01-06T06:45:00Z</dcterms:modified>
</cp:coreProperties>
</file>